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D8" w:rsidRDefault="001947D8">
      <w:pPr>
        <w:pStyle w:val="Bezmezer"/>
        <w:jc w:val="center"/>
        <w:rPr>
          <w:b/>
          <w:sz w:val="48"/>
          <w:u w:val="thick"/>
        </w:rPr>
      </w:pPr>
      <w:bookmarkStart w:id="0" w:name="_GoBack"/>
      <w:bookmarkEnd w:id="0"/>
      <w:r>
        <w:rPr>
          <w:b/>
          <w:sz w:val="48"/>
          <w:u w:val="thick"/>
        </w:rPr>
        <w:t>NÁVRH ZÁVĚREČNÉHO ÚČTU</w:t>
      </w:r>
      <w:r w:rsidR="00E85752">
        <w:rPr>
          <w:b/>
          <w:sz w:val="48"/>
          <w:u w:val="thick"/>
        </w:rPr>
        <w:t xml:space="preserve"> </w:t>
      </w:r>
    </w:p>
    <w:p w:rsidR="009268D3" w:rsidRDefault="00E85752" w:rsidP="001947D8">
      <w:pPr>
        <w:pStyle w:val="Bezmezer"/>
        <w:jc w:val="center"/>
        <w:rPr>
          <w:b/>
          <w:sz w:val="48"/>
          <w:u w:val="thick"/>
        </w:rPr>
      </w:pPr>
      <w:r>
        <w:rPr>
          <w:b/>
          <w:sz w:val="48"/>
          <w:u w:val="thick"/>
        </w:rPr>
        <w:t>MIKROREGIONU PODCHLUMÍ</w:t>
      </w:r>
      <w:r w:rsidR="001947D8">
        <w:rPr>
          <w:b/>
          <w:sz w:val="48"/>
          <w:u w:val="thick"/>
        </w:rPr>
        <w:t xml:space="preserve"> </w:t>
      </w:r>
      <w:r w:rsidR="002C35B9">
        <w:rPr>
          <w:b/>
          <w:sz w:val="48"/>
          <w:u w:val="thick"/>
        </w:rPr>
        <w:t>ZA ROK 2023</w:t>
      </w:r>
    </w:p>
    <w:p w:rsidR="009268D3" w:rsidRDefault="009268D3">
      <w:pPr>
        <w:pStyle w:val="Bezmezer"/>
        <w:jc w:val="center"/>
        <w:rPr>
          <w:sz w:val="20"/>
        </w:rPr>
      </w:pPr>
    </w:p>
    <w:p w:rsidR="009268D3" w:rsidRDefault="00E85752">
      <w:pPr>
        <w:pStyle w:val="Bezmezer"/>
        <w:jc w:val="center"/>
        <w:rPr>
          <w:sz w:val="20"/>
        </w:rPr>
      </w:pPr>
      <w:r>
        <w:rPr>
          <w:sz w:val="20"/>
        </w:rPr>
        <w:t>(§17 zákona č. 250/2000 Sb., o rozpočtových pravidlech územních rozpočtů, ve znění platných předpisů)</w:t>
      </w:r>
    </w:p>
    <w:p w:rsidR="009268D3" w:rsidRDefault="009268D3">
      <w:pPr>
        <w:pStyle w:val="Bezmezer"/>
        <w:jc w:val="center"/>
        <w:rPr>
          <w:sz w:val="20"/>
        </w:rPr>
      </w:pPr>
    </w:p>
    <w:p w:rsidR="009268D3" w:rsidRDefault="00E85752">
      <w:pPr>
        <w:pStyle w:val="Bezmezer"/>
        <w:numPr>
          <w:ilvl w:val="0"/>
          <w:numId w:val="10"/>
        </w:numPr>
        <w:ind w:left="720"/>
        <w:rPr>
          <w:b/>
          <w:sz w:val="36"/>
        </w:rPr>
      </w:pPr>
      <w:r>
        <w:rPr>
          <w:b/>
          <w:sz w:val="36"/>
        </w:rPr>
        <w:t>ÚDAJE O MIKROREGIONU PODCHLUMÍ</w:t>
      </w:r>
    </w:p>
    <w:p w:rsidR="009268D3" w:rsidRDefault="00E85752">
      <w:pPr>
        <w:pStyle w:val="Bezmezer"/>
        <w:ind w:left="720"/>
        <w:jc w:val="both"/>
      </w:pPr>
      <w:r>
        <w:t>Adresa:</w:t>
      </w:r>
      <w:r>
        <w:tab/>
      </w:r>
      <w:r>
        <w:tab/>
        <w:t>Mikroregion Podchlumí, Holovousy 39, 508 01 Hořice</w:t>
      </w:r>
    </w:p>
    <w:p w:rsidR="009268D3" w:rsidRDefault="00E85752">
      <w:pPr>
        <w:pStyle w:val="Bezmezer"/>
        <w:ind w:left="720"/>
        <w:jc w:val="both"/>
      </w:pPr>
      <w:r>
        <w:t>IČ:</w:t>
      </w:r>
      <w:r>
        <w:tab/>
      </w:r>
      <w:r>
        <w:tab/>
        <w:t>701 54 554</w:t>
      </w:r>
    </w:p>
    <w:p w:rsidR="009268D3" w:rsidRDefault="00E85752">
      <w:pPr>
        <w:pStyle w:val="Bezmezer"/>
        <w:ind w:left="720"/>
        <w:jc w:val="both"/>
      </w:pPr>
      <w:r>
        <w:t>Kontakt:</w:t>
      </w:r>
      <w:r>
        <w:tab/>
        <w:t xml:space="preserve">tel.: 724 164 673, e-mail: </w:t>
      </w:r>
      <w:hyperlink r:id="rId7" w:history="1">
        <w:r>
          <w:t>info@podchlumi.cz</w:t>
        </w:r>
      </w:hyperlink>
      <w:r>
        <w:t xml:space="preserve">, </w:t>
      </w:r>
      <w:hyperlink r:id="rId8" w:history="1">
        <w:r>
          <w:t>www.podchlumi.cz</w:t>
        </w:r>
      </w:hyperlink>
    </w:p>
    <w:p w:rsidR="009268D3" w:rsidRDefault="00E85752">
      <w:pPr>
        <w:pStyle w:val="Bezmezer"/>
        <w:ind w:left="720"/>
        <w:jc w:val="both"/>
      </w:pPr>
      <w:r>
        <w:t>Bankovní spojení</w:t>
      </w:r>
    </w:p>
    <w:p w:rsidR="009268D3" w:rsidRDefault="00E85752">
      <w:pPr>
        <w:pStyle w:val="Bezmezer"/>
        <w:ind w:left="720"/>
        <w:jc w:val="both"/>
      </w:pPr>
      <w:r>
        <w:t>116 317 63 39/0800, Česká spořitelna a.s.</w:t>
      </w:r>
    </w:p>
    <w:p w:rsidR="009268D3" w:rsidRDefault="00E85752">
      <w:pPr>
        <w:pStyle w:val="Bezmezer"/>
        <w:ind w:left="720"/>
        <w:jc w:val="both"/>
      </w:pPr>
      <w:r>
        <w:t>94-124 105 41/0710 ČNB</w:t>
      </w:r>
    </w:p>
    <w:p w:rsidR="009268D3" w:rsidRDefault="009268D3">
      <w:pPr>
        <w:pStyle w:val="Bezmezer"/>
        <w:ind w:left="720"/>
        <w:jc w:val="both"/>
        <w:rPr>
          <w:sz w:val="24"/>
          <w:szCs w:val="24"/>
        </w:rPr>
      </w:pPr>
    </w:p>
    <w:p w:rsidR="009268D3" w:rsidRDefault="002859CC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 r. 202</w:t>
      </w:r>
      <w:r w:rsidR="002C35B9">
        <w:rPr>
          <w:sz w:val="24"/>
          <w:szCs w:val="24"/>
        </w:rPr>
        <w:t>3</w:t>
      </w:r>
      <w:r w:rsidR="00E85752">
        <w:rPr>
          <w:sz w:val="24"/>
          <w:szCs w:val="24"/>
        </w:rPr>
        <w:t xml:space="preserve"> měl dobrovolný svazek obcí Mikroregion Podchlumí 26 členských obcí (Bašnice, Bílsko u Hořic, Boháňka, Bříšťany, Butoves, Dobrá Voda u Hořic, Holovousy, Chomutice, Jeřice, Konecchlumí, Kovač, Lískovice, Milovice u Hořic, Nevratice, Ostroměř, Petrovičky, Podhorní Újezd a Vojice, Rašín, Sobčice, Sukorady, Třebnouševes, Třtěnice, Volanice, Vrbice, Vysoké Veselí a Žeretice). Předsedou je starostka obce Holovousy paní Zlatuše Brádlová.</w:t>
      </w:r>
    </w:p>
    <w:p w:rsidR="009268D3" w:rsidRDefault="009268D3">
      <w:pPr>
        <w:pStyle w:val="Bezmezer"/>
        <w:ind w:left="720"/>
      </w:pPr>
    </w:p>
    <w:p w:rsidR="009268D3" w:rsidRDefault="00E85752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HOSPODAŘENÍ</w:t>
      </w:r>
    </w:p>
    <w:p w:rsidR="009268D3" w:rsidRDefault="002859CC">
      <w:pPr>
        <w:pStyle w:val="Bezmezer"/>
        <w:ind w:left="720"/>
        <w:jc w:val="center"/>
        <w:rPr>
          <w:b/>
          <w:sz w:val="28"/>
        </w:rPr>
      </w:pPr>
      <w:r>
        <w:rPr>
          <w:b/>
          <w:sz w:val="28"/>
        </w:rPr>
        <w:t>ROZVAHA K 31. 12. 202</w:t>
      </w:r>
      <w:r w:rsidR="002C35B9">
        <w:rPr>
          <w:b/>
          <w:sz w:val="28"/>
        </w:rPr>
        <w:t>3</w:t>
      </w:r>
    </w:p>
    <w:tbl>
      <w:tblPr>
        <w:tblW w:w="9070" w:type="dxa"/>
        <w:tblInd w:w="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2721"/>
        <w:gridCol w:w="2722"/>
      </w:tblGrid>
      <w:tr w:rsidR="009268D3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  <w:sz w:val="36"/>
              </w:rPr>
            </w:pPr>
            <w:r>
              <w:rPr>
                <w:b/>
                <w:sz w:val="36"/>
              </w:rPr>
              <w:t>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2859CC" w:rsidP="002C35B9">
            <w:pPr>
              <w:pStyle w:val="Bezmezer"/>
              <w:jc w:val="right"/>
            </w:pPr>
            <w:r>
              <w:t>Stav k 1. 1. 202</w:t>
            </w:r>
            <w:r w:rsidR="002C35B9">
              <w:t>3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2859CC" w:rsidP="002C35B9">
            <w:pPr>
              <w:pStyle w:val="Bezmezer"/>
              <w:jc w:val="right"/>
            </w:pPr>
            <w:r>
              <w:t>Stav k 31. 12. 202</w:t>
            </w:r>
            <w:r w:rsidR="002C35B9">
              <w:t>3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AKTIVA CELKEM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5.291.206,84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3.371.450,75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STÁLÁ 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2.794.739,95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2.958.793,95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Dlouhodobý nehmotný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1.061.519,95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1.061.519,95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Dlouhodobý hmotný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1.733.220,00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1.897.274,00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OBĚŽNÁ AKTIVA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2.496.466,89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412.656,80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Zásoby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98.</w:t>
            </w:r>
            <w:r w:rsidR="002C35B9">
              <w:t>960,00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>
            <w:pPr>
              <w:pStyle w:val="Bezmezer"/>
              <w:jc w:val="right"/>
            </w:pPr>
            <w:r>
              <w:t>98.</w:t>
            </w:r>
            <w:r w:rsidR="002C35B9">
              <w:t>960,00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Krátkodobé pohledávky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546228">
            <w:pPr>
              <w:pStyle w:val="Bezmezer"/>
              <w:jc w:val="right"/>
            </w:pPr>
            <w:r>
              <w:t>2.063.750,82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81.000,00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Krátkodobý finanční majetek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546228">
            <w:pPr>
              <w:pStyle w:val="Bezmezer"/>
              <w:jc w:val="right"/>
            </w:pPr>
            <w:r>
              <w:t>333.756,07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232.696,80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36"/>
              </w:rPr>
            </w:pPr>
            <w:r>
              <w:rPr>
                <w:b/>
                <w:sz w:val="36"/>
              </w:rPr>
              <w:t>PASIVA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PASIVA CELKEM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2.799.090,84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773.462,80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VLASTNÍ KAPITÁL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728.557,09</w:t>
            </w:r>
            <w:r w:rsidR="002C35B9">
              <w:rPr>
                <w:b/>
                <w:sz w:val="28"/>
              </w:rPr>
              <w:t xml:space="preserve">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692.462,80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Jmění účetní jednotky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667.936,83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745.115,80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Výsledek hospodaření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546228" w:rsidP="00F056A6">
            <w:pPr>
              <w:pStyle w:val="Bezmezer"/>
              <w:jc w:val="right"/>
            </w:pPr>
            <w:r>
              <w:t>60.620,26</w:t>
            </w:r>
            <w:r w:rsidR="002C35B9">
              <w:t xml:space="preserve">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-52.653,00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CIZÍ ZDROJE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2.070.533,75 Kč</w:t>
            </w: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81.000,00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Z toho</w:t>
            </w:r>
          </w:p>
        </w:tc>
        <w:tc>
          <w:tcPr>
            <w:tcW w:w="27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</w:p>
        </w:tc>
        <w:tc>
          <w:tcPr>
            <w:tcW w:w="272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Krátkodobé závazky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  <w:r>
              <w:t>80.000,00 Kč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81.000,00 Kč</w:t>
            </w:r>
          </w:p>
        </w:tc>
      </w:tr>
      <w:tr w:rsidR="002C35B9" w:rsidTr="002859CC">
        <w:trPr>
          <w:trHeight w:val="170"/>
        </w:trPr>
        <w:tc>
          <w:tcPr>
            <w:tcW w:w="3627" w:type="dxa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</w:pPr>
            <w:r>
              <w:t>Dlouhodobé závazky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 w:rsidP="00F056A6">
            <w:pPr>
              <w:pStyle w:val="Bezmezer"/>
              <w:jc w:val="right"/>
            </w:pPr>
            <w:r>
              <w:t>1.990.533,75 Kč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5B9" w:rsidRDefault="002C35B9">
            <w:pPr>
              <w:pStyle w:val="Bezmezer"/>
              <w:jc w:val="right"/>
            </w:pPr>
            <w:r>
              <w:t>1 855 485,85 Kč</w:t>
            </w:r>
          </w:p>
        </w:tc>
      </w:tr>
    </w:tbl>
    <w:p w:rsidR="009268D3" w:rsidRDefault="009268D3">
      <w:pPr>
        <w:pStyle w:val="Bezmezer"/>
        <w:ind w:left="720"/>
        <w:jc w:val="both"/>
      </w:pPr>
    </w:p>
    <w:p w:rsidR="009268D3" w:rsidRDefault="00546228">
      <w:pPr>
        <w:pStyle w:val="Bezmezer"/>
        <w:ind w:left="720"/>
        <w:jc w:val="both"/>
      </w:pPr>
      <w:r>
        <w:t>Za rok 2023</w:t>
      </w:r>
      <w:r w:rsidR="00E85752">
        <w:t xml:space="preserve"> byla provedena inventarizace majetku, závazků a pohledávek, při které nebyly zjištěny žádné rozdíly mezi skutečností a účetnictvím.</w:t>
      </w: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E85752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lastRenderedPageBreak/>
        <w:t>ÚDAJE O PLNĚNÍ ROZPOČTU PŘÍJMŮ</w:t>
      </w:r>
      <w:r w:rsidR="002859CC">
        <w:rPr>
          <w:b/>
          <w:sz w:val="36"/>
        </w:rPr>
        <w:t xml:space="preserve"> A VÝDAJŮ ZA ROK 202</w:t>
      </w:r>
      <w:r w:rsidR="00546228">
        <w:rPr>
          <w:b/>
          <w:sz w:val="36"/>
        </w:rPr>
        <w:t>3</w:t>
      </w:r>
    </w:p>
    <w:p w:rsidR="009268D3" w:rsidRDefault="009268D3">
      <w:pPr>
        <w:pStyle w:val="Bezmezer"/>
        <w:jc w:val="both"/>
      </w:pPr>
    </w:p>
    <w:tbl>
      <w:tblPr>
        <w:tblW w:w="0" w:type="auto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239"/>
        <w:gridCol w:w="1984"/>
        <w:gridCol w:w="2552"/>
      </w:tblGrid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Rozpočtové položky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Schválený rozpočet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Rozpočtové změny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 w:rsidP="005537CF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  <w:r w:rsidR="005537CF">
              <w:rPr>
                <w:b/>
              </w:rPr>
              <w:t xml:space="preserve"> k 31. 12. 2023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1 - Daňové příjmy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2 - Nedaňové příjmy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CD1608" w:rsidP="00CD1608">
            <w:pPr>
              <w:pStyle w:val="Bezmezer"/>
              <w:jc w:val="right"/>
            </w:pPr>
            <w:r>
              <w:t xml:space="preserve">500,00 </w:t>
            </w:r>
            <w:r w:rsidR="00E85752">
              <w:t>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12.710,20</w:t>
            </w:r>
            <w:r w:rsidR="00E85752">
              <w:t>,00 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CD1608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t xml:space="preserve">6.963,10 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3 - Kapitálové příjmy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4 - Přijaté dotace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CD1608">
            <w:pPr>
              <w:pStyle w:val="Bezmezer"/>
              <w:jc w:val="right"/>
            </w:pPr>
            <w:r>
              <w:t>320.796,00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6C114B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913.039</w:t>
            </w:r>
            <w:r w:rsidR="006C114B">
              <w:rPr>
                <w:rFonts w:ascii="Tahoma" w:eastAsia="Tahoma" w:hAnsi="Tahoma" w:cs="Tahoma"/>
                <w:sz w:val="18"/>
                <w:szCs w:val="18"/>
              </w:rPr>
              <w:t xml:space="preserve">,00 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735.849,96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b/>
              </w:rPr>
            </w:pPr>
            <w:r>
              <w:rPr>
                <w:b/>
              </w:rPr>
              <w:t>321.296,00</w:t>
            </w:r>
            <w:r w:rsidR="00E85752">
              <w:rPr>
                <w:b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925.749,20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742.813,06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5 - Běžné výdaje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6C114B">
            <w:pPr>
              <w:pStyle w:val="Bezmezer"/>
              <w:jc w:val="right"/>
            </w:pPr>
            <w:r>
              <w:t>111.296,00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673.001,67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00000A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679.818,33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Třída 6 - Kapitálové výdaje</w:t>
            </w:r>
          </w:p>
        </w:tc>
        <w:tc>
          <w:tcPr>
            <w:tcW w:w="2239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6C114B">
            <w:pPr>
              <w:pStyle w:val="Bezmezer"/>
              <w:jc w:val="right"/>
            </w:pPr>
            <w:r>
              <w:t>210.000,00</w:t>
            </w:r>
            <w:r w:rsidR="00E85752">
              <w:t xml:space="preserve"> Kč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210.000,00</w:t>
            </w:r>
            <w:r w:rsidR="00E85752">
              <w:t xml:space="preserve"> Kč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164.054</w:t>
            </w:r>
            <w:r w:rsidR="00E85752">
              <w:t>,00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321.296</w:t>
            </w:r>
            <w:r w:rsidR="006C114B">
              <w:rPr>
                <w:rFonts w:ascii="Tahoma" w:eastAsia="Tahoma" w:hAnsi="Tahoma" w:cs="Tahoma"/>
                <w:b/>
                <w:sz w:val="18"/>
                <w:szCs w:val="18"/>
              </w:rPr>
              <w:t>,00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883.001,67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843.872,33</w:t>
            </w:r>
            <w:r w:rsidR="00E8575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Kč</w:t>
            </w:r>
          </w:p>
        </w:tc>
      </w:tr>
      <w:tr w:rsidR="009268D3" w:rsidTr="005537CF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SALDO: Příjmy – výdaje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color w:val="FF0000"/>
              </w:rPr>
            </w:pPr>
            <w:r>
              <w:rPr>
                <w:color w:val="000000" w:themeColor="text1"/>
              </w:rPr>
              <w:t>0,00</w:t>
            </w:r>
            <w:r w:rsidR="006C114B" w:rsidRPr="006C114B">
              <w:rPr>
                <w:color w:val="000000" w:themeColor="text1"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380.000,00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380.000,00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</w:tr>
    </w:tbl>
    <w:p w:rsidR="009268D3" w:rsidRDefault="002859CC" w:rsidP="006C114B">
      <w:pPr>
        <w:pStyle w:val="Bezmezer"/>
        <w:ind w:left="705"/>
        <w:jc w:val="both"/>
      </w:pPr>
      <w:r>
        <w:t>Úplné výkazy za rok 202</w:t>
      </w:r>
      <w:r w:rsidR="007D10BC">
        <w:t>3</w:t>
      </w:r>
      <w:r w:rsidR="00E85752">
        <w:t xml:space="preserve"> jsou dostupné na elektronické úřední desce nebo v tištěné podobě na obecním úřadě v </w:t>
      </w:r>
      <w:proofErr w:type="spellStart"/>
      <w:r w:rsidR="00E85752">
        <w:t>Holovousích</w:t>
      </w:r>
      <w:proofErr w:type="spellEnd"/>
      <w:r w:rsidR="00E85752">
        <w:t>.</w:t>
      </w:r>
    </w:p>
    <w:p w:rsidR="009268D3" w:rsidRDefault="009268D3">
      <w:pPr>
        <w:pStyle w:val="Bezmezer"/>
        <w:ind w:left="720"/>
        <w:jc w:val="both"/>
      </w:pPr>
    </w:p>
    <w:p w:rsidR="009268D3" w:rsidRDefault="002859CC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VYÚČTOVÁNÍ DOTACÍ ZA ROK 202</w:t>
      </w:r>
      <w:r w:rsidR="007D10BC">
        <w:rPr>
          <w:b/>
          <w:sz w:val="36"/>
        </w:rPr>
        <w:t>3</w:t>
      </w:r>
    </w:p>
    <w:p w:rsidR="009268D3" w:rsidRDefault="009268D3">
      <w:pPr>
        <w:pStyle w:val="Bezmezer"/>
        <w:ind w:left="720"/>
        <w:rPr>
          <w:b/>
          <w:sz w:val="24"/>
        </w:rPr>
      </w:pPr>
    </w:p>
    <w:tbl>
      <w:tblPr>
        <w:tblW w:w="9419" w:type="dxa"/>
        <w:tblInd w:w="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824"/>
        <w:gridCol w:w="2126"/>
        <w:gridCol w:w="2126"/>
        <w:gridCol w:w="1418"/>
      </w:tblGrid>
      <w:tr w:rsidR="009268D3" w:rsidTr="005537CF">
        <w:trPr>
          <w:trHeight w:val="340"/>
        </w:trPr>
        <w:tc>
          <w:tcPr>
            <w:tcW w:w="9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Výše dotace v Kč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Vyčerpáno z dotace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Vratka</w:t>
            </w:r>
          </w:p>
        </w:tc>
      </w:tr>
      <w:tr w:rsidR="009268D3" w:rsidTr="005537CF">
        <w:trPr>
          <w:trHeight w:val="340"/>
        </w:trPr>
        <w:tc>
          <w:tcPr>
            <w:tcW w:w="9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</w:pPr>
            <w:r>
              <w:t>4121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Členské příspěvky od obcí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 w:rsidP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110.796,</w:t>
            </w:r>
            <w:r w:rsidR="006C114B">
              <w:rPr>
                <w:rFonts w:ascii="Tahoma" w:eastAsia="Tahoma" w:hAnsi="Tahoma" w:cs="Tahoma"/>
                <w:sz w:val="18"/>
                <w:szCs w:val="18"/>
              </w:rPr>
              <w:t>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110.796,</w:t>
            </w:r>
            <w:r w:rsidR="00D138D8">
              <w:rPr>
                <w:rFonts w:ascii="Tahoma" w:eastAsia="Tahoma" w:hAnsi="Tahoma" w:cs="Tahoma"/>
                <w:sz w:val="18"/>
                <w:szCs w:val="18"/>
              </w:rPr>
              <w:t>00</w:t>
            </w:r>
            <w:r w:rsidR="00E8575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E85752">
              <w:t xml:space="preserve"> Kč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9268D3" w:rsidTr="005537CF">
        <w:trPr>
          <w:trHeight w:val="340"/>
        </w:trPr>
        <w:tc>
          <w:tcPr>
            <w:tcW w:w="925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center"/>
            </w:pPr>
            <w:r>
              <w:t>4122</w:t>
            </w: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</w:pPr>
            <w:r>
              <w:t>Profesionalizace KHK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 </w:t>
            </w:r>
            <w:r w:rsidR="007D10BC">
              <w:t>81</w:t>
            </w:r>
            <w:r w:rsidR="00D138D8">
              <w:t>.</w:t>
            </w:r>
            <w:r>
              <w:t>000,00 Kč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81</w:t>
            </w:r>
            <w:r w:rsidR="00D138D8">
              <w:t>.</w:t>
            </w:r>
            <w:r w:rsidR="00E85752">
              <w:t>000,00 Kč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5537CF" w:rsidTr="005537CF">
        <w:trPr>
          <w:trHeight w:val="340"/>
        </w:trPr>
        <w:tc>
          <w:tcPr>
            <w:tcW w:w="925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center"/>
            </w:pPr>
            <w:r>
              <w:t>4213</w:t>
            </w: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 w:rsidP="007D10BC">
            <w:pPr>
              <w:pStyle w:val="Bezmezer"/>
            </w:pPr>
            <w:r>
              <w:t xml:space="preserve">Dotace </w:t>
            </w:r>
            <w:r w:rsidR="007D10BC">
              <w:t xml:space="preserve">SZIF </w:t>
            </w:r>
            <w:proofErr w:type="spellStart"/>
            <w:r w:rsidR="007D10BC">
              <w:t>pártystan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131.243,00 Kč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7D10BC">
            <w:pPr>
              <w:pStyle w:val="Bezmezer"/>
              <w:jc w:val="right"/>
            </w:pPr>
            <w:r>
              <w:t>131.243,00 Kč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D3" w:rsidRDefault="00E85752">
            <w:pPr>
              <w:pStyle w:val="Bezmezer"/>
              <w:jc w:val="right"/>
            </w:pPr>
            <w:r>
              <w:t>0,00 Kč</w:t>
            </w:r>
          </w:p>
        </w:tc>
      </w:tr>
      <w:tr w:rsidR="007D10BC" w:rsidTr="005537CF">
        <w:trPr>
          <w:trHeight w:val="340"/>
        </w:trPr>
        <w:tc>
          <w:tcPr>
            <w:tcW w:w="925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center"/>
            </w:pPr>
            <w:r>
              <w:t>4221</w:t>
            </w:r>
          </w:p>
        </w:tc>
        <w:tc>
          <w:tcPr>
            <w:tcW w:w="28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 w:rsidP="007D10BC">
            <w:pPr>
              <w:pStyle w:val="Bezmezer"/>
            </w:pPr>
            <w:r>
              <w:t xml:space="preserve">Spoluúčasti obcí </w:t>
            </w:r>
            <w:proofErr w:type="spellStart"/>
            <w:r>
              <w:t>pártystan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32.810,86 Kč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right"/>
            </w:pPr>
            <w:r>
              <w:rPr>
                <w:rFonts w:ascii="Tahoma" w:eastAsia="Tahoma" w:hAnsi="Tahoma" w:cs="Tahoma"/>
                <w:sz w:val="18"/>
                <w:szCs w:val="18"/>
              </w:rPr>
              <w:t>32.810,86 Kč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0BC" w:rsidRDefault="007D10BC">
            <w:pPr>
              <w:pStyle w:val="Bezmezer"/>
              <w:jc w:val="right"/>
            </w:pPr>
            <w:r>
              <w:t>0,00 Kč</w:t>
            </w:r>
          </w:p>
        </w:tc>
      </w:tr>
    </w:tbl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5537CF" w:rsidRDefault="00E85752" w:rsidP="005537CF">
      <w:pPr>
        <w:pStyle w:val="Bezmezer"/>
        <w:numPr>
          <w:ilvl w:val="0"/>
          <w:numId w:val="3"/>
        </w:numPr>
        <w:ind w:left="720"/>
        <w:rPr>
          <w:b/>
          <w:sz w:val="36"/>
        </w:rPr>
      </w:pPr>
      <w:r>
        <w:rPr>
          <w:b/>
          <w:sz w:val="36"/>
        </w:rPr>
        <w:t>AUDIT KRAJSKÉHO ÚŘADU</w:t>
      </w:r>
    </w:p>
    <w:p w:rsidR="005537CF" w:rsidRPr="00082DD2" w:rsidRDefault="005537CF" w:rsidP="005537CF">
      <w:pPr>
        <w:pStyle w:val="Bezmezer"/>
        <w:ind w:left="720"/>
        <w:rPr>
          <w:b/>
          <w:sz w:val="6"/>
        </w:rPr>
      </w:pPr>
    </w:p>
    <w:p w:rsidR="009268D3" w:rsidRPr="005537CF" w:rsidRDefault="00082DD2" w:rsidP="005537CF">
      <w:pPr>
        <w:pStyle w:val="Bezmezer"/>
        <w:ind w:left="720"/>
        <w:rPr>
          <w:b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1FB768" wp14:editId="6ACBFC3A">
            <wp:simplePos x="0" y="0"/>
            <wp:positionH relativeFrom="column">
              <wp:posOffset>314325</wp:posOffset>
            </wp:positionH>
            <wp:positionV relativeFrom="paragraph">
              <wp:posOffset>284480</wp:posOffset>
            </wp:positionV>
            <wp:extent cx="4067175" cy="42195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0" t="6921" r="8972" b="32410"/>
                    <a:stretch/>
                  </pic:blipFill>
                  <pic:spPr bwMode="auto">
                    <a:xfrm>
                      <a:off x="0" y="0"/>
                      <a:ext cx="406717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752" w:rsidRPr="005537CF">
        <w:t>Hospodaření Mi</w:t>
      </w:r>
      <w:r w:rsidR="002859CC" w:rsidRPr="005537CF">
        <w:t>kroregionu Podchlumí za rok 202</w:t>
      </w:r>
      <w:r w:rsidR="005537CF" w:rsidRPr="005537CF">
        <w:t>3</w:t>
      </w:r>
      <w:r w:rsidR="00E85752" w:rsidRPr="005537CF">
        <w:t xml:space="preserve"> bylo přezkoumáno pracovníky Krajského úřadu Králové</w:t>
      </w:r>
      <w:r w:rsidR="006B7046" w:rsidRPr="005537CF">
        <w:t xml:space="preserve">hradeckého kraje dne </w:t>
      </w:r>
      <w:r w:rsidR="005537CF" w:rsidRPr="005537CF">
        <w:t>15.</w:t>
      </w:r>
      <w:r w:rsidR="006D4B1D">
        <w:t xml:space="preserve"> </w:t>
      </w:r>
      <w:r w:rsidR="005537CF" w:rsidRPr="005537CF">
        <w:t>11.</w:t>
      </w:r>
      <w:r w:rsidR="006D4B1D">
        <w:t xml:space="preserve"> </w:t>
      </w:r>
      <w:r w:rsidR="005537CF" w:rsidRPr="005537CF">
        <w:t>2023 a 18.</w:t>
      </w:r>
      <w:r w:rsidR="006D4B1D">
        <w:t xml:space="preserve"> </w:t>
      </w:r>
      <w:r w:rsidR="005537CF" w:rsidRPr="005537CF">
        <w:t>03.</w:t>
      </w:r>
      <w:r w:rsidR="006D4B1D">
        <w:t xml:space="preserve"> </w:t>
      </w:r>
      <w:r w:rsidR="005537CF" w:rsidRPr="005537CF">
        <w:t xml:space="preserve">2024 </w:t>
      </w:r>
      <w:r w:rsidR="00E85752" w:rsidRPr="005537CF">
        <w:t>se závěrem:</w:t>
      </w: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center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</w:pPr>
    </w:p>
    <w:p w:rsidR="009268D3" w:rsidRDefault="009268D3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082DD2">
      <w:pPr>
        <w:pStyle w:val="Bezmezer"/>
        <w:ind w:left="720"/>
        <w:jc w:val="both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3CB4BCF8" wp14:editId="7CC23C13">
            <wp:simplePos x="0" y="0"/>
            <wp:positionH relativeFrom="column">
              <wp:posOffset>57150</wp:posOffset>
            </wp:positionH>
            <wp:positionV relativeFrom="paragraph">
              <wp:posOffset>-190500</wp:posOffset>
            </wp:positionV>
            <wp:extent cx="4114800" cy="4476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1" t="7895" r="2648" b="23392"/>
                    <a:stretch/>
                  </pic:blipFill>
                  <pic:spPr bwMode="auto">
                    <a:xfrm>
                      <a:off x="0" y="0"/>
                      <a:ext cx="411480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6B7046" w:rsidRDefault="006B7046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082DD2" w:rsidRDefault="00082DD2">
      <w:pPr>
        <w:pStyle w:val="Bezmezer"/>
        <w:ind w:left="720"/>
        <w:jc w:val="both"/>
        <w:rPr>
          <w:noProof/>
          <w:lang w:eastAsia="cs-CZ"/>
        </w:rPr>
      </w:pPr>
    </w:p>
    <w:p w:rsidR="009268D3" w:rsidRDefault="00E85752">
      <w:pPr>
        <w:pStyle w:val="Bezmezer"/>
        <w:tabs>
          <w:tab w:val="right" w:pos="8505"/>
        </w:tabs>
        <w:jc w:val="both"/>
      </w:pPr>
      <w:r>
        <w:t>Zpráva o výsledku přezkoumání hospodaření Mi</w:t>
      </w:r>
      <w:r w:rsidR="00461201">
        <w:t>kroregionu Podchlumí za rok 202</w:t>
      </w:r>
      <w:r w:rsidR="005C23C0">
        <w:t>3</w:t>
      </w:r>
      <w:r>
        <w:t xml:space="preserve"> a dále přílohy závěrečného účtu – I</w:t>
      </w:r>
      <w:r w:rsidR="00461201">
        <w:t>nventarizace majetku za rok 202</w:t>
      </w:r>
      <w:r w:rsidR="005C23C0">
        <w:t>3</w:t>
      </w:r>
      <w:r>
        <w:t xml:space="preserve">, vyúčtování přijatých dotací, výkazy Rozvaha, Výkaz zisku a ztráty, Příloha a výkaz FIN 2-12 za Mikroregion Podchlumí jsou k nahlédnutí v plném rozsahu na obecním úřadě v </w:t>
      </w:r>
      <w:proofErr w:type="spellStart"/>
      <w:r>
        <w:t>Holovousích</w:t>
      </w:r>
      <w:proofErr w:type="spellEnd"/>
      <w:r>
        <w:t xml:space="preserve"> v pondělí od 8:00 – 12:00 hodin, v úterý od 15:00 – 17:00 hodin, nebo po telefonické domluvě na tel. čísle 739 727 094.</w:t>
      </w:r>
    </w:p>
    <w:p w:rsidR="009268D3" w:rsidRDefault="00E85752">
      <w:pPr>
        <w:pStyle w:val="Bezmezer"/>
        <w:tabs>
          <w:tab w:val="right" w:pos="8505"/>
        </w:tabs>
        <w:jc w:val="both"/>
      </w:pPr>
      <w:r>
        <w:t>V plném rozsahu je závěrečný účet zveřejněn na elektronické úřední desce všech členských obcí.</w:t>
      </w:r>
    </w:p>
    <w:p w:rsidR="009268D3" w:rsidRDefault="00E85752">
      <w:pPr>
        <w:pStyle w:val="Bezmezer"/>
        <w:tabs>
          <w:tab w:val="right" w:pos="8505"/>
        </w:tabs>
        <w:jc w:val="both"/>
      </w:pPr>
      <w:r>
        <w:t xml:space="preserve">Připomínky k návrhu závěrečného účtu mohou občané členských obcí Mikroregionu Podchlumí uplatnit písemně ve </w:t>
      </w:r>
      <w:r w:rsidRPr="00DB3336">
        <w:t xml:space="preserve">lhůtě </w:t>
      </w:r>
      <w:r w:rsidR="00DB3336" w:rsidRPr="00DB3336">
        <w:t>do 1</w:t>
      </w:r>
      <w:r w:rsidR="005C23C0">
        <w:t>0</w:t>
      </w:r>
      <w:r w:rsidR="00DB3336" w:rsidRPr="00DB3336">
        <w:t>. 6. 202</w:t>
      </w:r>
      <w:r w:rsidR="005C23C0">
        <w:t>4</w:t>
      </w:r>
      <w:r w:rsidRPr="00DB3336">
        <w:t xml:space="preserve"> nebo ústně při projednávání závěrečného účtu na shromáždění starostů.</w:t>
      </w:r>
    </w:p>
    <w:p w:rsidR="009268D3" w:rsidRDefault="009268D3">
      <w:pPr>
        <w:pStyle w:val="Bezmezer"/>
        <w:tabs>
          <w:tab w:val="right" w:pos="8505"/>
        </w:tabs>
        <w:jc w:val="both"/>
      </w:pPr>
    </w:p>
    <w:p w:rsidR="009268D3" w:rsidRDefault="009268D3">
      <w:pPr>
        <w:pStyle w:val="Bezmezer"/>
        <w:tabs>
          <w:tab w:val="right" w:pos="8505"/>
        </w:tabs>
        <w:jc w:val="both"/>
      </w:pPr>
    </w:p>
    <w:p w:rsidR="009268D3" w:rsidRPr="00DB3336" w:rsidRDefault="00E85752">
      <w:pPr>
        <w:pStyle w:val="Bezmezer"/>
        <w:rPr>
          <w:sz w:val="24"/>
        </w:rPr>
      </w:pPr>
      <w:r w:rsidRPr="00DB3336">
        <w:rPr>
          <w:sz w:val="24"/>
        </w:rPr>
        <w:t xml:space="preserve">V …………………………………. </w:t>
      </w:r>
      <w:proofErr w:type="gramStart"/>
      <w:r w:rsidRPr="00DB3336">
        <w:rPr>
          <w:sz w:val="24"/>
        </w:rPr>
        <w:t>dne</w:t>
      </w:r>
      <w:proofErr w:type="gramEnd"/>
      <w:r w:rsidRPr="00DB3336">
        <w:rPr>
          <w:sz w:val="24"/>
        </w:rPr>
        <w:t xml:space="preserve"> </w:t>
      </w:r>
      <w:r w:rsidR="00082DD2">
        <w:rPr>
          <w:sz w:val="24"/>
        </w:rPr>
        <w:t>27</w:t>
      </w:r>
      <w:r w:rsidRPr="00DB3336">
        <w:rPr>
          <w:sz w:val="24"/>
        </w:rPr>
        <w:t xml:space="preserve">. </w:t>
      </w:r>
      <w:r w:rsidR="005C23C0">
        <w:rPr>
          <w:sz w:val="24"/>
        </w:rPr>
        <w:t>května 2024</w:t>
      </w:r>
      <w:r w:rsidRPr="00DB3336">
        <w:rPr>
          <w:sz w:val="24"/>
        </w:rPr>
        <w:t xml:space="preserve">                                       </w:t>
      </w: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Pr="00DB3336" w:rsidRDefault="00E85752" w:rsidP="00DB3336">
      <w:pPr>
        <w:pStyle w:val="Bezmezer"/>
        <w:rPr>
          <w:sz w:val="24"/>
        </w:rPr>
      </w:pPr>
      <w:r w:rsidRPr="00DB3336">
        <w:rPr>
          <w:sz w:val="24"/>
        </w:rPr>
        <w:t xml:space="preserve">Vyvěšeno dne:      </w:t>
      </w:r>
      <w:r w:rsidR="00082DD2">
        <w:rPr>
          <w:sz w:val="24"/>
        </w:rPr>
        <w:t>27</w:t>
      </w:r>
      <w:r w:rsidR="005C23C0" w:rsidRPr="00DB3336">
        <w:rPr>
          <w:sz w:val="24"/>
        </w:rPr>
        <w:t xml:space="preserve">. </w:t>
      </w:r>
      <w:r w:rsidR="005C23C0">
        <w:rPr>
          <w:sz w:val="24"/>
        </w:rPr>
        <w:t>května 2024</w:t>
      </w:r>
      <w:r w:rsidRPr="00DB3336">
        <w:rPr>
          <w:sz w:val="24"/>
        </w:rPr>
        <w:tab/>
        <w:t xml:space="preserve">                   </w:t>
      </w:r>
      <w:r w:rsidR="00DB3336">
        <w:rPr>
          <w:sz w:val="24"/>
        </w:rPr>
        <w:tab/>
      </w:r>
      <w:r w:rsidR="00DB3336">
        <w:rPr>
          <w:sz w:val="24"/>
        </w:rPr>
        <w:tab/>
      </w:r>
      <w:r w:rsidR="00DB3336">
        <w:rPr>
          <w:sz w:val="24"/>
        </w:rPr>
        <w:tab/>
      </w:r>
      <w:r w:rsidRPr="00DB3336">
        <w:rPr>
          <w:sz w:val="24"/>
        </w:rPr>
        <w:t xml:space="preserve"> …………………………………</w:t>
      </w:r>
    </w:p>
    <w:p w:rsidR="009268D3" w:rsidRPr="00DB3336" w:rsidRDefault="00E85752">
      <w:pPr>
        <w:pStyle w:val="Bezmezer"/>
        <w:tabs>
          <w:tab w:val="right" w:pos="8505"/>
        </w:tabs>
        <w:jc w:val="both"/>
        <w:rPr>
          <w:sz w:val="28"/>
          <w:szCs w:val="24"/>
        </w:rPr>
      </w:pPr>
      <w:r w:rsidRPr="00DB3336">
        <w:rPr>
          <w:sz w:val="28"/>
          <w:szCs w:val="24"/>
        </w:rPr>
        <w:t xml:space="preserve">                                                                                </w:t>
      </w:r>
      <w:r w:rsidR="00DB3336">
        <w:rPr>
          <w:sz w:val="28"/>
          <w:szCs w:val="24"/>
        </w:rPr>
        <w:t xml:space="preserve">             </w:t>
      </w:r>
      <w:r w:rsidR="00DB3336">
        <w:rPr>
          <w:sz w:val="28"/>
          <w:szCs w:val="24"/>
        </w:rPr>
        <w:tab/>
      </w:r>
      <w:r w:rsidRPr="00DB3336">
        <w:rPr>
          <w:sz w:val="28"/>
          <w:szCs w:val="24"/>
        </w:rPr>
        <w:t>Razítko a podpis</w:t>
      </w:r>
    </w:p>
    <w:p w:rsidR="009268D3" w:rsidRPr="00DB3336" w:rsidRDefault="009268D3">
      <w:pPr>
        <w:pStyle w:val="Bezmezer"/>
        <w:tabs>
          <w:tab w:val="right" w:pos="8505"/>
        </w:tabs>
        <w:jc w:val="both"/>
        <w:rPr>
          <w:sz w:val="28"/>
          <w:szCs w:val="24"/>
        </w:rPr>
      </w:pPr>
    </w:p>
    <w:p w:rsidR="009268D3" w:rsidRDefault="00E85752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E8575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Sejmuto dne: </w:t>
      </w:r>
      <w:r>
        <w:rPr>
          <w:sz w:val="24"/>
          <w:szCs w:val="24"/>
        </w:rPr>
        <w:tab/>
        <w:t xml:space="preserve">      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9268D3" w:rsidRDefault="00E85752">
      <w:pPr>
        <w:pStyle w:val="Bezmezer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Razítko a podpis</w:t>
      </w:r>
    </w:p>
    <w:p w:rsidR="009268D3" w:rsidRDefault="009268D3">
      <w:pPr>
        <w:pStyle w:val="Bezmezer"/>
        <w:ind w:left="5664" w:firstLine="708"/>
        <w:jc w:val="both"/>
        <w:rPr>
          <w:sz w:val="24"/>
          <w:szCs w:val="24"/>
        </w:rPr>
      </w:pPr>
    </w:p>
    <w:p w:rsidR="009268D3" w:rsidRDefault="00E85752">
      <w:pPr>
        <w:pStyle w:val="Bezmezer"/>
        <w:tabs>
          <w:tab w:val="right" w:pos="8505"/>
        </w:tabs>
        <w:jc w:val="both"/>
      </w:pPr>
      <w:r>
        <w:rPr>
          <w:sz w:val="24"/>
          <w:szCs w:val="24"/>
        </w:rPr>
        <w:t>Vyvěšeno elektronicky</w:t>
      </w:r>
      <w:r w:rsidR="00DB3336" w:rsidRPr="00DB3336">
        <w:rPr>
          <w:sz w:val="24"/>
        </w:rPr>
        <w:t xml:space="preserve">:      </w:t>
      </w:r>
      <w:r w:rsidR="00082DD2">
        <w:rPr>
          <w:sz w:val="24"/>
        </w:rPr>
        <w:t>27</w:t>
      </w:r>
      <w:r w:rsidR="005C23C0" w:rsidRPr="00DB3336">
        <w:rPr>
          <w:sz w:val="24"/>
        </w:rPr>
        <w:t xml:space="preserve">. </w:t>
      </w:r>
      <w:r w:rsidR="005C23C0">
        <w:rPr>
          <w:sz w:val="24"/>
        </w:rPr>
        <w:t xml:space="preserve">května 2024        </w:t>
      </w:r>
      <w:r>
        <w:rPr>
          <w:sz w:val="24"/>
          <w:szCs w:val="24"/>
        </w:rPr>
        <w:t>do ……………………………………………</w:t>
      </w: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9268D3" w:rsidRDefault="009268D3">
      <w:pPr>
        <w:pStyle w:val="Bezmezer"/>
        <w:tabs>
          <w:tab w:val="right" w:pos="8505"/>
        </w:tabs>
        <w:jc w:val="both"/>
        <w:rPr>
          <w:sz w:val="24"/>
          <w:szCs w:val="24"/>
        </w:rPr>
      </w:pPr>
    </w:p>
    <w:p w:rsidR="00DB3336" w:rsidRDefault="005C23C0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68D3" w:rsidRDefault="00E85752">
      <w:pPr>
        <w:pStyle w:val="Bezmezer"/>
        <w:tabs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………………………………..</w:t>
      </w:r>
    </w:p>
    <w:p w:rsidR="009268D3" w:rsidRPr="00082DD2" w:rsidRDefault="00E85752" w:rsidP="00082DD2">
      <w:pPr>
        <w:pStyle w:val="Bezmezer"/>
        <w:tabs>
          <w:tab w:val="right" w:pos="8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B3336">
        <w:rPr>
          <w:sz w:val="24"/>
          <w:szCs w:val="24"/>
        </w:rPr>
        <w:t xml:space="preserve">   </w:t>
      </w:r>
      <w:r>
        <w:rPr>
          <w:sz w:val="24"/>
          <w:szCs w:val="24"/>
        </w:rPr>
        <w:t>Razítko a podpis</w:t>
      </w:r>
    </w:p>
    <w:sectPr w:rsidR="009268D3" w:rsidRPr="00082DD2">
      <w:footerReference w:type="default" r:id="rId11"/>
      <w:pgSz w:w="11906" w:h="16838"/>
      <w:pgMar w:top="720" w:right="720" w:bottom="720" w:left="7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D9" w:rsidRDefault="00D92AD9">
      <w:r>
        <w:separator/>
      </w:r>
    </w:p>
  </w:endnote>
  <w:endnote w:type="continuationSeparator" w:id="0">
    <w:p w:rsidR="00D92AD9" w:rsidRDefault="00D9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7A" w:rsidRDefault="009349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D9" w:rsidRDefault="00D92AD9">
      <w:r>
        <w:rPr>
          <w:color w:val="000000"/>
        </w:rPr>
        <w:separator/>
      </w:r>
    </w:p>
  </w:footnote>
  <w:footnote w:type="continuationSeparator" w:id="0">
    <w:p w:rsidR="00D92AD9" w:rsidRDefault="00D9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102"/>
    <w:multiLevelType w:val="multilevel"/>
    <w:tmpl w:val="8B64DD7E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B7B1620"/>
    <w:multiLevelType w:val="multilevel"/>
    <w:tmpl w:val="EB607F08"/>
    <w:styleLink w:val="WWNum9"/>
    <w:lvl w:ilvl="0">
      <w:numFmt w:val="bullet"/>
      <w:lvlText w:val="o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3F642872"/>
    <w:multiLevelType w:val="multilevel"/>
    <w:tmpl w:val="959C17AA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 w15:restartNumberingAfterBreak="0">
    <w:nsid w:val="4BB06D79"/>
    <w:multiLevelType w:val="multilevel"/>
    <w:tmpl w:val="3162F56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8E21E37"/>
    <w:multiLevelType w:val="multilevel"/>
    <w:tmpl w:val="AF364E0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5AA71E4"/>
    <w:multiLevelType w:val="multilevel"/>
    <w:tmpl w:val="032CF0EA"/>
    <w:styleLink w:val="WWNum6"/>
    <w:lvl w:ilvl="0">
      <w:numFmt w:val="bullet"/>
      <w:lvlText w:val="-"/>
      <w:lvlJc w:val="left"/>
      <w:rPr>
        <w:rFonts w:ascii="Times New Roman" w:eastAsia="Calibri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675F6DA8"/>
    <w:multiLevelType w:val="multilevel"/>
    <w:tmpl w:val="33B286C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DE83471"/>
    <w:multiLevelType w:val="multilevel"/>
    <w:tmpl w:val="30EA0ADA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7E892025"/>
    <w:multiLevelType w:val="multilevel"/>
    <w:tmpl w:val="E55CBEB4"/>
    <w:styleLink w:val="WWNum7"/>
    <w:lvl w:ilvl="0">
      <w:numFmt w:val="bullet"/>
      <w:lvlText w:val="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3"/>
    <w:rsid w:val="00000B88"/>
    <w:rsid w:val="00071519"/>
    <w:rsid w:val="00082DD2"/>
    <w:rsid w:val="001947D8"/>
    <w:rsid w:val="001B64D7"/>
    <w:rsid w:val="002859CC"/>
    <w:rsid w:val="002C35B9"/>
    <w:rsid w:val="00461201"/>
    <w:rsid w:val="00546228"/>
    <w:rsid w:val="005537CF"/>
    <w:rsid w:val="005C23C0"/>
    <w:rsid w:val="006B7046"/>
    <w:rsid w:val="006C114B"/>
    <w:rsid w:val="006D18E3"/>
    <w:rsid w:val="006D4B1D"/>
    <w:rsid w:val="007D10BC"/>
    <w:rsid w:val="009268D3"/>
    <w:rsid w:val="00934966"/>
    <w:rsid w:val="00BE443C"/>
    <w:rsid w:val="00CD1608"/>
    <w:rsid w:val="00D138D8"/>
    <w:rsid w:val="00D70551"/>
    <w:rsid w:val="00D92AD9"/>
    <w:rsid w:val="00DB3336"/>
    <w:rsid w:val="00E85752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09B89-3960-4481-B2A1-644AC8CF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Normlnweb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9C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paragraph" w:customStyle="1" w:styleId="Default">
    <w:name w:val="Default"/>
    <w:rsid w:val="005537CF"/>
    <w:pPr>
      <w:widowControl/>
      <w:autoSpaceDE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hlumi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odchlum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Novotná</cp:lastModifiedBy>
  <cp:revision>2</cp:revision>
  <cp:lastPrinted>2023-06-01T09:20:00Z</cp:lastPrinted>
  <dcterms:created xsi:type="dcterms:W3CDTF">2024-05-29T07:00:00Z</dcterms:created>
  <dcterms:modified xsi:type="dcterms:W3CDTF">2024-05-29T07:00:00Z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